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r w:rsidRPr="00F6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РЕСПУБЛИКА КРЫМ</w:t>
      </w:r>
    </w:p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НИЖНЕГОРСКИЙ РАЙОН</w:t>
      </w:r>
    </w:p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ЖЕМЧУЖИНСКИЙ СЕЛЬСКИЙ СОВЕТ</w:t>
      </w:r>
    </w:p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4-я сессия 1-го созыва</w:t>
      </w:r>
    </w:p>
    <w:p w:rsidR="00F60EA9" w:rsidRPr="00F60EA9" w:rsidRDefault="00F60EA9" w:rsidP="00F60EA9">
      <w:pPr>
        <w:widowControl w:val="0"/>
        <w:spacing w:after="330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EA9" w:rsidRPr="00F60EA9" w:rsidRDefault="00F60EA9" w:rsidP="00F60EA9">
      <w:pPr>
        <w:widowControl w:val="0"/>
        <w:spacing w:after="217" w:line="20" w:lineRule="atLeas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РЕШЕНИЕ</w:t>
      </w:r>
    </w:p>
    <w:p w:rsidR="00F60EA9" w:rsidRPr="00F60EA9" w:rsidRDefault="00F60EA9" w:rsidP="00F60EA9">
      <w:pPr>
        <w:widowControl w:val="0"/>
        <w:tabs>
          <w:tab w:val="left" w:pos="7498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0EA9" w:rsidRPr="00F60EA9" w:rsidRDefault="00F60EA9" w:rsidP="00F60EA9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№ 2_28.11.2014.</w:t>
      </w: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doc</w:t>
      </w:r>
    </w:p>
    <w:bookmarkEnd w:id="0"/>
    <w:p w:rsidR="00F60EA9" w:rsidRPr="00F60EA9" w:rsidRDefault="00F60EA9" w:rsidP="00F60EA9">
      <w:pPr>
        <w:widowControl w:val="0"/>
        <w:tabs>
          <w:tab w:val="left" w:pos="7498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60EA9" w:rsidRPr="00F60EA9" w:rsidRDefault="00F60EA9" w:rsidP="00F60EA9">
      <w:pPr>
        <w:widowControl w:val="0"/>
        <w:spacing w:after="118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введении в действие </w:t>
      </w:r>
      <w:proofErr w:type="gramStart"/>
      <w:r w:rsidR="008E6519"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земельного</w:t>
      </w:r>
      <w:proofErr w:type="gramEnd"/>
    </w:p>
    <w:p w:rsidR="00F60EA9" w:rsidRPr="00F60EA9" w:rsidRDefault="008E6519" w:rsidP="00F60EA9">
      <w:pPr>
        <w:widowControl w:val="0"/>
        <w:spacing w:after="118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налога, </w:t>
      </w:r>
      <w:proofErr w:type="gramStart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установлении</w:t>
      </w:r>
      <w:proofErr w:type="gramEnd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ставок, сроках </w:t>
      </w:r>
    </w:p>
    <w:p w:rsidR="00F60EA9" w:rsidRPr="00F60EA9" w:rsidRDefault="008E6519" w:rsidP="00F60EA9">
      <w:pPr>
        <w:widowControl w:val="0"/>
        <w:spacing w:after="118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уплаты и </w:t>
      </w:r>
      <w:proofErr w:type="gramStart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льготах</w:t>
      </w:r>
      <w:proofErr w:type="gramEnd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</w:t>
      </w:r>
      <w:proofErr w:type="spellStart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Жемчужинском</w:t>
      </w:r>
      <w:proofErr w:type="spellEnd"/>
    </w:p>
    <w:p w:rsidR="008E6519" w:rsidRPr="00F60EA9" w:rsidRDefault="008E6519" w:rsidP="00F60EA9">
      <w:pPr>
        <w:widowControl w:val="0"/>
        <w:spacing w:after="118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сельском </w:t>
      </w:r>
      <w:proofErr w:type="gramStart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поселении</w:t>
      </w:r>
      <w:proofErr w:type="gramEnd"/>
      <w:r w:rsidRPr="00F60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 2014 году.</w:t>
      </w:r>
    </w:p>
    <w:p w:rsidR="008E6519" w:rsidRDefault="008E6519" w:rsidP="00F60EA9">
      <w:pPr>
        <w:widowControl w:val="0"/>
        <w:spacing w:after="0" w:line="20" w:lineRule="atLeast"/>
        <w:contextualSpacing/>
        <w:jc w:val="both"/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60EA9" w:rsidRPr="00F60EA9" w:rsidRDefault="00F60EA9" w:rsidP="00F60EA9">
      <w:pPr>
        <w:widowControl w:val="0"/>
        <w:spacing w:after="0" w:line="20" w:lineRule="atLeast"/>
        <w:contextualSpacing/>
        <w:jc w:val="both"/>
        <w:rPr>
          <w:rFonts w:ascii="Times New Roman" w:eastAsia="Trebuchet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E6519" w:rsidRDefault="008E6519" w:rsidP="00F60EA9">
      <w:pPr>
        <w:widowControl w:val="0"/>
        <w:spacing w:after="83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ст.387 глава 31 «Земельный налог» Налогового Кодекса Российской Федерации, руководствуясь Постановлением Совета Министров Республики Крым № 450 от 12.11.2014г., на основании Устава Жемчужинского сельского поселения, Совет народных депутатов Жемчужинского сельского поселения Нижнегорского района Республики Крым</w:t>
      </w:r>
    </w:p>
    <w:p w:rsidR="00F60EA9" w:rsidRPr="00F60EA9" w:rsidRDefault="00F60EA9" w:rsidP="00F60EA9">
      <w:pPr>
        <w:widowControl w:val="0"/>
        <w:spacing w:after="83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E6519" w:rsidRDefault="008E6519" w:rsidP="00F60EA9">
      <w:pPr>
        <w:widowControl w:val="0"/>
        <w:spacing w:after="221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  <w:t>РЕШИЛ:</w:t>
      </w:r>
    </w:p>
    <w:p w:rsidR="00F60EA9" w:rsidRPr="00F60EA9" w:rsidRDefault="00F60EA9" w:rsidP="00F60EA9">
      <w:pPr>
        <w:widowControl w:val="0"/>
        <w:spacing w:after="221" w:line="20" w:lineRule="atLeast"/>
        <w:ind w:left="40"/>
        <w:contextualSpacing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 w:bidi="ru-RU"/>
        </w:rPr>
      </w:pPr>
    </w:p>
    <w:p w:rsidR="008E6519" w:rsidRPr="00F60EA9" w:rsidRDefault="008E6519" w:rsidP="00F60EA9">
      <w:pPr>
        <w:widowControl w:val="0"/>
        <w:numPr>
          <w:ilvl w:val="0"/>
          <w:numId w:val="2"/>
        </w:numPr>
        <w:tabs>
          <w:tab w:val="left" w:pos="339"/>
        </w:tabs>
        <w:spacing w:after="17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387 главы 31 Налогового кодекса Российской Федерации ввести на территории Жемчужинского сельского поселения Нижнегорского района Республики Крым земельный налог на земли, находящиеся в пределах границ сельского поселения.</w:t>
      </w:r>
    </w:p>
    <w:p w:rsidR="008E6519" w:rsidRPr="00F60EA9" w:rsidRDefault="008E6519" w:rsidP="00F60EA9">
      <w:pPr>
        <w:widowControl w:val="0"/>
        <w:numPr>
          <w:ilvl w:val="0"/>
          <w:numId w:val="2"/>
        </w:numPr>
        <w:tabs>
          <w:tab w:val="left" w:pos="339"/>
        </w:tabs>
        <w:spacing w:after="18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8E6519" w:rsidRPr="00F60EA9" w:rsidRDefault="00F60EA9" w:rsidP="00F60EA9">
      <w:pPr>
        <w:widowControl w:val="0"/>
        <w:numPr>
          <w:ilvl w:val="0"/>
          <w:numId w:val="2"/>
        </w:numPr>
        <w:tabs>
          <w:tab w:val="left" w:pos="339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признаются нал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45"/>
        </w:tabs>
        <w:spacing w:after="188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Объектом налогообложения признаются земельные участки, расположенные в пределах границ Жемчужинского сельского поселения Нижнегорского района Республики Крым.</w:t>
      </w:r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45"/>
        </w:tabs>
        <w:spacing w:after="17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Земельные участки, перечисленные в пункте 2 статьи 389 Налогового кодекса Российской Федерации, не признаются объектом налогообложения.</w:t>
      </w:r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35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Налоговая база в отношении земельных участков, признаваемых объектом</w:t>
      </w:r>
    </w:p>
    <w:p w:rsidR="008E6519" w:rsidRPr="00F60EA9" w:rsidRDefault="00F60EA9" w:rsidP="00F60EA9">
      <w:pPr>
        <w:widowControl w:val="0"/>
        <w:tabs>
          <w:tab w:val="left" w:pos="2465"/>
          <w:tab w:val="left" w:pos="2748"/>
          <w:tab w:val="left" w:pos="4558"/>
          <w:tab w:val="left" w:pos="5114"/>
          <w:tab w:val="left" w:pos="6300"/>
          <w:tab w:val="left" w:pos="6996"/>
          <w:tab w:val="left" w:pos="8599"/>
        </w:tabs>
        <w:spacing w:after="0" w:line="20" w:lineRule="atLeast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Налогообложения 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соответствии со статьей 389 Налогового 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оссийской Федерации определяется в порядке, установленном ст. 390,391,392 Налогового кодекса Российской Федерации. Администрация Жемчужинского сельского поселения ежегодно до 01 февраля предоставляет в налоговые органы сведения о 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земельных участках, признаваемых объек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том налогообложения в соответствии со статьей 389 Налогового 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Российской Федерации.</w:t>
      </w:r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35"/>
        </w:tabs>
        <w:spacing w:after="15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Налоговым периодом признается календарный год.</w:t>
      </w:r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35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Установить процентную ставку по арендной плате на земельные участки:</w:t>
      </w:r>
    </w:p>
    <w:p w:rsidR="008E6519" w:rsidRPr="00F60EA9" w:rsidRDefault="00F60EA9" w:rsidP="00F60EA9">
      <w:pPr>
        <w:widowControl w:val="0"/>
        <w:numPr>
          <w:ilvl w:val="0"/>
          <w:numId w:val="4"/>
        </w:numPr>
        <w:tabs>
          <w:tab w:val="left" w:pos="48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используемых в коммерческих целях.</w:t>
      </w:r>
    </w:p>
    <w:p w:rsidR="008E6519" w:rsidRPr="00F60EA9" w:rsidRDefault="00F60EA9" w:rsidP="00F60EA9">
      <w:pPr>
        <w:widowControl w:val="0"/>
        <w:numPr>
          <w:ilvl w:val="0"/>
          <w:numId w:val="4"/>
        </w:numPr>
        <w:tabs>
          <w:tab w:val="left" w:pos="48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производственной деятельности (за исключением обеспечения космической деятельности), для транспорта, для деятельности по особой охране и изучению природы.</w:t>
      </w:r>
    </w:p>
    <w:p w:rsidR="008E6519" w:rsidRPr="00F60EA9" w:rsidRDefault="00F60EA9" w:rsidP="00F60EA9">
      <w:pPr>
        <w:widowControl w:val="0"/>
        <w:numPr>
          <w:ilvl w:val="0"/>
          <w:numId w:val="4"/>
        </w:numPr>
        <w:tabs>
          <w:tab w:val="left" w:pos="48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жилищного (за исключением передвижного жилья) и сельскохозяйственного использования, для общественного использования объектов капитального строительства (за исключением объектов не государственной или муниципальной собственности лесной деятельности, для общего и специального пользования водными объектами, для гидротехнических сооружений, для общего пользования территории, для ритуальной деятельности, для специальной деятельности.</w:t>
      </w:r>
      <w:proofErr w:type="gramEnd"/>
    </w:p>
    <w:p w:rsidR="008E6519" w:rsidRPr="00F60EA9" w:rsidRDefault="008E6519" w:rsidP="00F60EA9">
      <w:pPr>
        <w:widowControl w:val="0"/>
        <w:numPr>
          <w:ilvl w:val="0"/>
          <w:numId w:val="3"/>
        </w:numPr>
        <w:tabs>
          <w:tab w:val="left" w:pos="345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394 главы 31 НК РФ установить налоговые</w:t>
      </w:r>
      <w:r w:rsid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ставки в следующих размерах:</w:t>
      </w:r>
    </w:p>
    <w:p w:rsidR="008E6519" w:rsidRPr="00F60EA9" w:rsidRDefault="00F60EA9" w:rsidP="00F60EA9">
      <w:pPr>
        <w:widowControl w:val="0"/>
        <w:numPr>
          <w:ilvl w:val="0"/>
          <w:numId w:val="5"/>
        </w:numPr>
        <w:tabs>
          <w:tab w:val="left" w:pos="486"/>
        </w:tabs>
        <w:spacing w:after="25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0,06 %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размещения домов многоэтажной жилой застройки (за исключением доли в праве на земельный участок, приходящийся на объект, не относящийся к жилищному фонду);</w:t>
      </w:r>
    </w:p>
    <w:p w:rsidR="008E6519" w:rsidRPr="00F60EA9" w:rsidRDefault="00F60EA9" w:rsidP="00F60EA9">
      <w:pPr>
        <w:widowControl w:val="0"/>
        <w:numPr>
          <w:ilvl w:val="0"/>
          <w:numId w:val="5"/>
        </w:numPr>
        <w:tabs>
          <w:tab w:val="left" w:pos="369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0,3 %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участков: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предназначенных для размещения домов индивидуальной жилой застройки;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находящихся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составе дачных, садоводческих и огороднических</w:t>
      </w:r>
    </w:p>
    <w:p w:rsidR="008E6519" w:rsidRPr="00F60EA9" w:rsidRDefault="00F60EA9" w:rsidP="00F60EA9">
      <w:pPr>
        <w:widowControl w:val="0"/>
        <w:tabs>
          <w:tab w:val="left" w:pos="2832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объединений;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занятых объектами инженерной инфраструктуры жилищно-коммунального комплекса (за исключением доли в праве на земельный участок, приходящейся</w:t>
      </w:r>
      <w:proofErr w:type="gramEnd"/>
    </w:p>
    <w:p w:rsidR="008E6519" w:rsidRPr="00F60EA9" w:rsidRDefault="008E6519" w:rsidP="00F60EA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объект, не относящийся к жилищному фонду и к объектам инженернойинфраструктуры жилищно-коммунального комплекса) или </w:t>
      </w: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приобретенных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(предоставленных) для жилищного строительства;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приобретенных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6519" w:rsidRPr="00F60EA9" w:rsidRDefault="007B4769" w:rsidP="00F60EA9">
      <w:pPr>
        <w:widowControl w:val="0"/>
        <w:numPr>
          <w:ilvl w:val="0"/>
          <w:numId w:val="7"/>
        </w:numPr>
        <w:tabs>
          <w:tab w:val="left" w:pos="406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0,2 %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участков: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19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земли сельскохозяйственного назначения, находящиеся за пределами населённого пункта (паи, земли для ведения личного крестьянского хозяйства).</w:t>
      </w:r>
    </w:p>
    <w:p w:rsidR="008E6519" w:rsidRPr="00F60EA9" w:rsidRDefault="008E6519" w:rsidP="00F60EA9">
      <w:pPr>
        <w:widowControl w:val="0"/>
        <w:numPr>
          <w:ilvl w:val="0"/>
          <w:numId w:val="7"/>
        </w:numPr>
        <w:tabs>
          <w:tab w:val="left" w:pos="411"/>
        </w:tabs>
        <w:spacing w:after="145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1,5 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участков: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11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предназначенных для размещения объектов торговли, общественного питания и бытового обслуживания;</w:t>
      </w:r>
    </w:p>
    <w:p w:rsidR="008E6519" w:rsidRPr="00F60EA9" w:rsidRDefault="007B4769" w:rsidP="00F60EA9">
      <w:pPr>
        <w:widowControl w:val="0"/>
        <w:numPr>
          <w:ilvl w:val="0"/>
          <w:numId w:val="6"/>
        </w:numPr>
        <w:tabs>
          <w:tab w:val="left" w:pos="339"/>
        </w:tabs>
        <w:spacing w:after="19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предназначенных для 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размещения офисных зданий делового и коммерческого назначения.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14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занятых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водными объектами, находящимися в обороте;</w:t>
      </w:r>
    </w:p>
    <w:p w:rsidR="008E6519" w:rsidRPr="00F60EA9" w:rsidRDefault="008E6519" w:rsidP="00F60EA9">
      <w:pPr>
        <w:widowControl w:val="0"/>
        <w:numPr>
          <w:ilvl w:val="0"/>
          <w:numId w:val="6"/>
        </w:numPr>
        <w:tabs>
          <w:tab w:val="left" w:pos="297"/>
        </w:tabs>
        <w:spacing w:after="12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размещения производственных и административных зданий, строений, сооружений промышленности, коммунального хозяйства, материально- 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технического, продовольственного снабжения, сбыта и заготовок;</w:t>
      </w:r>
    </w:p>
    <w:p w:rsidR="008E6519" w:rsidRPr="00F60EA9" w:rsidRDefault="008E6519" w:rsidP="00F60EA9">
      <w:pPr>
        <w:widowControl w:val="0"/>
        <w:numPr>
          <w:ilvl w:val="0"/>
          <w:numId w:val="7"/>
        </w:numPr>
        <w:tabs>
          <w:tab w:val="left" w:pos="426"/>
        </w:tabs>
        <w:spacing w:after="12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0,04 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8E6519" w:rsidRPr="00F60EA9" w:rsidRDefault="008E6519" w:rsidP="00F60EA9">
      <w:pPr>
        <w:widowControl w:val="0"/>
        <w:numPr>
          <w:ilvl w:val="0"/>
          <w:numId w:val="7"/>
        </w:numPr>
        <w:tabs>
          <w:tab w:val="left" w:pos="421"/>
        </w:tabs>
        <w:spacing w:after="113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1,2 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размещения объектов рекреационного и лечебно-оздоровительного назначения;</w:t>
      </w:r>
    </w:p>
    <w:p w:rsidR="008E6519" w:rsidRPr="00F60EA9" w:rsidRDefault="008E6519" w:rsidP="00F60EA9">
      <w:pPr>
        <w:widowControl w:val="0"/>
        <w:numPr>
          <w:ilvl w:val="0"/>
          <w:numId w:val="7"/>
        </w:numPr>
        <w:tabs>
          <w:tab w:val="left" w:pos="421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0,5 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%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отношении земельных участков, предназначенных для размещения электростанций, обслуживающих их сооружений и объектов;</w:t>
      </w:r>
    </w:p>
    <w:p w:rsidR="008E6519" w:rsidRPr="00F60EA9" w:rsidRDefault="008E6519" w:rsidP="007B4769">
      <w:pPr>
        <w:pStyle w:val="40"/>
        <w:numPr>
          <w:ilvl w:val="0"/>
          <w:numId w:val="7"/>
        </w:numPr>
        <w:shd w:val="clear" w:color="auto" w:fill="auto"/>
        <w:spacing w:after="124" w:line="20" w:lineRule="atLeast"/>
        <w:contextualSpacing/>
        <w:jc w:val="both"/>
      </w:pPr>
      <w:proofErr w:type="gramStart"/>
      <w:r w:rsidRPr="00F60EA9">
        <w:rPr>
          <w:color w:val="000000"/>
          <w:lang w:bidi="en-US"/>
        </w:rPr>
        <w:t xml:space="preserve">1,0 </w:t>
      </w:r>
      <w:r w:rsidR="007B4769">
        <w:rPr>
          <w:color w:val="000000"/>
          <w:lang w:eastAsia="ru-RU" w:bidi="ru-RU"/>
        </w:rPr>
        <w:t>%</w:t>
      </w:r>
      <w:r w:rsidRPr="00F60EA9">
        <w:rPr>
          <w:color w:val="000000"/>
          <w:lang w:eastAsia="ru-RU" w:bidi="ru-RU"/>
        </w:rPr>
        <w:t xml:space="preserve"> в отношении земельных участков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</w:t>
      </w:r>
      <w:proofErr w:type="gramEnd"/>
      <w:r w:rsidRPr="00F60EA9">
        <w:rPr>
          <w:color w:val="000000"/>
          <w:lang w:eastAsia="ru-RU" w:bidi="ru-RU"/>
        </w:rPr>
        <w:t>, строений, сооружений, устрой</w:t>
      </w:r>
      <w:proofErr w:type="gramStart"/>
      <w:r w:rsidRPr="00F60EA9">
        <w:rPr>
          <w:color w:val="000000"/>
          <w:lang w:eastAsia="ru-RU" w:bidi="ru-RU"/>
        </w:rPr>
        <w:t>ств тр</w:t>
      </w:r>
      <w:proofErr w:type="gramEnd"/>
      <w:r w:rsidRPr="00F60EA9">
        <w:rPr>
          <w:color w:val="000000"/>
          <w:lang w:eastAsia="ru-RU" w:bidi="ru-RU"/>
        </w:rPr>
        <w:t>анспорта, энергетики и связи; размещений наземных сооружений и инфраструктуры спутниковой связи, объектов космической деятельности, обороны, безопасности.</w:t>
      </w:r>
    </w:p>
    <w:p w:rsidR="008E6519" w:rsidRPr="00F60EA9" w:rsidRDefault="008E6519" w:rsidP="00F60EA9">
      <w:pPr>
        <w:pStyle w:val="40"/>
        <w:numPr>
          <w:ilvl w:val="0"/>
          <w:numId w:val="8"/>
        </w:numPr>
        <w:shd w:val="clear" w:color="auto" w:fill="auto"/>
        <w:tabs>
          <w:tab w:val="left" w:pos="490"/>
        </w:tabs>
        <w:spacing w:after="112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Установить, что на территории Жемчужинского сельского поселения, льготы,</w:t>
      </w:r>
      <w:r w:rsidR="0058727B">
        <w:rPr>
          <w:color w:val="000000"/>
          <w:lang w:eastAsia="ru-RU" w:bidi="ru-RU"/>
        </w:rPr>
        <w:t xml:space="preserve"> </w:t>
      </w:r>
      <w:r w:rsidRPr="00F60EA9">
        <w:rPr>
          <w:color w:val="000000"/>
          <w:lang w:eastAsia="ru-RU" w:bidi="ru-RU"/>
        </w:rPr>
        <w:t>установленные в соответствии со статьей 395 НК РФ действуют в полном объеме.</w:t>
      </w:r>
    </w:p>
    <w:p w:rsidR="008E6519" w:rsidRPr="00F60EA9" w:rsidRDefault="008E6519" w:rsidP="00F60EA9">
      <w:pPr>
        <w:pStyle w:val="40"/>
        <w:numPr>
          <w:ilvl w:val="0"/>
          <w:numId w:val="8"/>
        </w:numPr>
        <w:shd w:val="clear" w:color="auto" w:fill="auto"/>
        <w:tabs>
          <w:tab w:val="left" w:pos="490"/>
        </w:tabs>
        <w:spacing w:after="120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Согласно п.5 ст.391 Налогового кодекса РФ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’участка, находящегося в собственности, постоянном (бессрочном) пользовании или п</w:t>
      </w:r>
      <w:r w:rsidR="007B4769">
        <w:rPr>
          <w:color w:val="000000"/>
          <w:lang w:eastAsia="ru-RU" w:bidi="ru-RU"/>
        </w:rPr>
        <w:t>ожизненном наследуемом владении</w:t>
      </w:r>
      <w:r w:rsidRPr="00F60EA9">
        <w:rPr>
          <w:color w:val="000000"/>
          <w:lang w:eastAsia="ru-RU" w:bidi="ru-RU"/>
        </w:rPr>
        <w:t>.</w:t>
      </w:r>
    </w:p>
    <w:p w:rsidR="008E6519" w:rsidRPr="00F60EA9" w:rsidRDefault="008E6519" w:rsidP="00F60EA9">
      <w:pPr>
        <w:pStyle w:val="40"/>
        <w:shd w:val="clear" w:color="auto" w:fill="auto"/>
        <w:spacing w:after="120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В соответствии с п.2 ст.387 НК РФ освободить от уплаты земельного налога участки, занятые жилищным фондом, и земельные участки приобретенные (предоставленные) для ведения личного подсобного хозяйства, следующим категориям налогоплательщиков:</w:t>
      </w:r>
    </w:p>
    <w:p w:rsidR="008E6519" w:rsidRPr="007B4769" w:rsidRDefault="008E6519" w:rsidP="007B4769">
      <w:pPr>
        <w:pStyle w:val="40"/>
        <w:shd w:val="clear" w:color="auto" w:fill="auto"/>
        <w:spacing w:after="0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-Героев Советского Союза, Героев Российской Федерации, полных кавалеров ордена Славы;</w:t>
      </w:r>
    </w:p>
    <w:p w:rsidR="008E6519" w:rsidRPr="00F60EA9" w:rsidRDefault="008E6519" w:rsidP="00F60EA9">
      <w:pPr>
        <w:pStyle w:val="40"/>
        <w:shd w:val="clear" w:color="auto" w:fill="auto"/>
        <w:spacing w:after="196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-инвалидов,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E6519" w:rsidRPr="00F60EA9" w:rsidRDefault="008E6519" w:rsidP="00F60EA9">
      <w:pPr>
        <w:pStyle w:val="40"/>
        <w:shd w:val="clear" w:color="auto" w:fill="auto"/>
        <w:spacing w:after="188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-инвалидов с детства;</w:t>
      </w:r>
    </w:p>
    <w:p w:rsidR="008E6519" w:rsidRPr="00F60EA9" w:rsidRDefault="008E6519" w:rsidP="00F60EA9">
      <w:pPr>
        <w:pStyle w:val="40"/>
        <w:shd w:val="clear" w:color="auto" w:fill="auto"/>
        <w:spacing w:after="124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>-ветеранов и инвалидов великой Отечественной войны, а также ветеранов и инвалидов боевых действий;</w:t>
      </w:r>
    </w:p>
    <w:p w:rsidR="008E6519" w:rsidRPr="007B4769" w:rsidRDefault="008E6519" w:rsidP="007B4769">
      <w:pPr>
        <w:pStyle w:val="40"/>
        <w:shd w:val="clear" w:color="auto" w:fill="auto"/>
        <w:spacing w:after="0" w:line="20" w:lineRule="atLeast"/>
        <w:contextualSpacing/>
        <w:jc w:val="both"/>
      </w:pPr>
      <w:r w:rsidRPr="00F60EA9">
        <w:rPr>
          <w:color w:val="000000"/>
          <w:lang w:eastAsia="ru-RU" w:bidi="ru-RU"/>
        </w:rPr>
        <w:t xml:space="preserve">-физических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наЧернобыльской АЭС» (в редакции Закона Российской Федерации; </w:t>
      </w:r>
      <w:proofErr w:type="gramStart"/>
      <w:r w:rsidRPr="00F60EA9">
        <w:rPr>
          <w:color w:val="000000"/>
          <w:lang w:eastAsia="ru-RU" w:bidi="ru-RU"/>
        </w:rPr>
        <w:t xml:space="preserve">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</w:t>
      </w:r>
      <w:r w:rsidRPr="00F60EA9">
        <w:rPr>
          <w:color w:val="000000"/>
          <w:lang w:eastAsia="ru-RU" w:bidi="ru-RU"/>
        </w:rPr>
        <w:lastRenderedPageBreak/>
        <w:t xml:space="preserve">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60EA9">
        <w:rPr>
          <w:color w:val="000000"/>
          <w:lang w:eastAsia="ru-RU" w:bidi="ru-RU"/>
        </w:rPr>
        <w:t>Теча</w:t>
      </w:r>
      <w:proofErr w:type="spellEnd"/>
      <w:r w:rsidRPr="00F60EA9">
        <w:rPr>
          <w:color w:val="000000"/>
          <w:lang w:eastAsia="ru-RU" w:bidi="ru-RU"/>
        </w:rPr>
        <w:t>» и в соответствии с Федеральным законом от 10.01.2002 года №2-ФЗ «О социальных гарантиях гражданам, подвергшимся радиационному воздействию вследствие</w:t>
      </w:r>
      <w:proofErr w:type="gramEnd"/>
      <w:r w:rsidRPr="00F60EA9">
        <w:rPr>
          <w:color w:val="000000"/>
          <w:lang w:eastAsia="ru-RU" w:bidi="ru-RU"/>
        </w:rPr>
        <w:t xml:space="preserve"> ядерных испытаний на Семипалатинском полигоне»;</w:t>
      </w:r>
    </w:p>
    <w:p w:rsidR="008E6519" w:rsidRPr="00F60EA9" w:rsidRDefault="007B4769" w:rsidP="00F60EA9">
      <w:pPr>
        <w:widowControl w:val="0"/>
        <w:spacing w:after="17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8E6519"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физических лиц, принимавших в составе подразделений особого риска непосредственное участие в испытаниях термоядерного оружия, ликвидации аварий ядерных установок на средствах вооружения и военных объектах;</w:t>
      </w:r>
    </w:p>
    <w:p w:rsidR="008E6519" w:rsidRPr="00F60EA9" w:rsidRDefault="008E6519" w:rsidP="00F60EA9">
      <w:pPr>
        <w:widowControl w:val="0"/>
        <w:tabs>
          <w:tab w:val="left" w:pos="2779"/>
        </w:tabs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оружие и космическую технику.</w:t>
      </w:r>
    </w:p>
    <w:p w:rsidR="008E6519" w:rsidRPr="00F60EA9" w:rsidRDefault="008E6519" w:rsidP="00F60EA9">
      <w:pPr>
        <w:widowControl w:val="0"/>
        <w:numPr>
          <w:ilvl w:val="0"/>
          <w:numId w:val="9"/>
        </w:numPr>
        <w:tabs>
          <w:tab w:val="left" w:pos="526"/>
        </w:tabs>
        <w:spacing w:after="176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Исчисление налога и авансовых платежей осуществляется в порядке, определенном статьей 396 и в сроки, определенные настоящим решением.</w:t>
      </w:r>
    </w:p>
    <w:p w:rsidR="008E6519" w:rsidRPr="00F60EA9" w:rsidRDefault="008E6519" w:rsidP="00F60EA9">
      <w:pPr>
        <w:widowControl w:val="0"/>
        <w:numPr>
          <w:ilvl w:val="0"/>
          <w:numId w:val="9"/>
        </w:numPr>
        <w:tabs>
          <w:tab w:val="left" w:pos="526"/>
        </w:tabs>
        <w:spacing w:after="18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Физические лица, не являющиеся индивидуальными предпринимателями, уплачивают налог на основании налогового уведомления в срок до 1 октября года, следующего за истекшим налоговым периодом.</w:t>
      </w:r>
    </w:p>
    <w:p w:rsidR="008E6519" w:rsidRPr="00F60EA9" w:rsidRDefault="008E6519" w:rsidP="00F60EA9">
      <w:pPr>
        <w:widowControl w:val="0"/>
        <w:numPr>
          <w:ilvl w:val="0"/>
          <w:numId w:val="9"/>
        </w:numPr>
        <w:tabs>
          <w:tab w:val="left" w:pos="526"/>
        </w:tabs>
        <w:spacing w:after="25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Организации и </w:t>
      </w: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физические лица, являющиеся индивидуальными предпринимателями уплачивают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суммы авансовых платежей по на</w:t>
      </w:r>
      <w:r w:rsidR="007B4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логу не позднее 30 апреля, 31 и</w:t>
      </w: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E6519" w:rsidRDefault="008E6519" w:rsidP="00F60EA9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итогам налогового периода в срок до 1 февраля года, следующего заистекшим налоговым периодом, уплачивается сумма налога, определяемая как разница между суммой налога, исчисленной по действующим ставкам и суммами авансовых платежей по налогу.</w:t>
      </w:r>
    </w:p>
    <w:p w:rsidR="00CA3AD4" w:rsidRPr="00CA3AD4" w:rsidRDefault="00CA3AD4" w:rsidP="00CA3AD4">
      <w:pPr>
        <w:pStyle w:val="a3"/>
        <w:widowControl w:val="0"/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Налогоплательщики, имеющие право на налоговые льготы и уменьшение налогооблагаемой базы, должны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предоставить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подтверждающие такое право, в налоговые органы в срок до 1 февраля года, следующего за истекшим налоговым периодом.</w:t>
      </w:r>
    </w:p>
    <w:p w:rsidR="008E6519" w:rsidRPr="00F60EA9" w:rsidRDefault="008E6519" w:rsidP="00F60EA9">
      <w:pPr>
        <w:widowControl w:val="0"/>
        <w:numPr>
          <w:ilvl w:val="0"/>
          <w:numId w:val="10"/>
        </w:numPr>
        <w:tabs>
          <w:tab w:val="left" w:pos="522"/>
        </w:tabs>
        <w:spacing w:after="252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подлежит официальному опубликованию на Портале муниципальных образований Республики Крым в информационн</w:t>
      </w:r>
      <w:proofErr w:type="gramStart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телекоммуникационной сети «Интернет» - </w:t>
      </w:r>
      <w:hyperlink r:id="rId5" w:history="1"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://</w:t>
        </w:r>
        <w:proofErr w:type="spellStart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nijno</w:t>
        </w:r>
        <w:proofErr w:type="spellEnd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rk</w:t>
        </w:r>
        <w:proofErr w:type="spellEnd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gov</w:t>
        </w:r>
        <w:proofErr w:type="spellEnd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  <w:proofErr w:type="spellStart"/>
        <w:r w:rsidRPr="00F60EA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bidi="en-US"/>
          </w:rPr>
          <w:t>ru</w:t>
        </w:r>
        <w:proofErr w:type="spellEnd"/>
      </w:hyperlink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на информационном стенде Жемчужинского сельского совета</w:t>
      </w:r>
    </w:p>
    <w:p w:rsidR="008E6519" w:rsidRDefault="008E6519" w:rsidP="00F60EA9">
      <w:pPr>
        <w:widowControl w:val="0"/>
        <w:numPr>
          <w:ilvl w:val="0"/>
          <w:numId w:val="10"/>
        </w:numPr>
        <w:tabs>
          <w:tab w:val="left" w:pos="49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решение вступает в силу с 1 января 2015 года.</w:t>
      </w:r>
    </w:p>
    <w:p w:rsidR="00CA3AD4" w:rsidRDefault="00CA3AD4" w:rsidP="00CA3AD4">
      <w:pPr>
        <w:widowControl w:val="0"/>
        <w:tabs>
          <w:tab w:val="left" w:pos="49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AD4" w:rsidRDefault="00CA3AD4" w:rsidP="00CA3AD4">
      <w:pPr>
        <w:widowControl w:val="0"/>
        <w:tabs>
          <w:tab w:val="left" w:pos="49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AD4" w:rsidRPr="00F60EA9" w:rsidRDefault="00CA3AD4" w:rsidP="00CA3AD4">
      <w:pPr>
        <w:widowControl w:val="0"/>
        <w:tabs>
          <w:tab w:val="left" w:pos="493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A3AD4" w:rsidRDefault="008E6519" w:rsidP="00F60EA9">
      <w:pPr>
        <w:spacing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60E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Председатель Жемчужинского</w:t>
      </w:r>
    </w:p>
    <w:p w:rsidR="00305D33" w:rsidRPr="00F60EA9" w:rsidRDefault="008E6519" w:rsidP="00F60EA9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EA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сельского совета</w:t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CA3A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О.Ю.Большунова</w:t>
      </w:r>
    </w:p>
    <w:sectPr w:rsidR="00305D33" w:rsidRPr="00F60EA9" w:rsidSect="00F60E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A33"/>
    <w:multiLevelType w:val="multilevel"/>
    <w:tmpl w:val="68C4C16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81D46"/>
    <w:multiLevelType w:val="multilevel"/>
    <w:tmpl w:val="9782D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927"/>
    <w:multiLevelType w:val="multilevel"/>
    <w:tmpl w:val="33C0A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41390"/>
    <w:multiLevelType w:val="multilevel"/>
    <w:tmpl w:val="6CBE4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C392F"/>
    <w:multiLevelType w:val="multilevel"/>
    <w:tmpl w:val="E264D6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62A4D"/>
    <w:multiLevelType w:val="multilevel"/>
    <w:tmpl w:val="CF5EC4B4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15680"/>
    <w:multiLevelType w:val="multilevel"/>
    <w:tmpl w:val="8708A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093A2E"/>
    <w:multiLevelType w:val="multilevel"/>
    <w:tmpl w:val="6C268C8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412983"/>
    <w:multiLevelType w:val="multilevel"/>
    <w:tmpl w:val="9EA47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BA5B9B"/>
    <w:multiLevelType w:val="multilevel"/>
    <w:tmpl w:val="1ABA9F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7"/>
    <w:rsid w:val="00305D33"/>
    <w:rsid w:val="0058727B"/>
    <w:rsid w:val="00744792"/>
    <w:rsid w:val="007B4769"/>
    <w:rsid w:val="008E6519"/>
    <w:rsid w:val="00AB5177"/>
    <w:rsid w:val="00BE456A"/>
    <w:rsid w:val="00CA3AD4"/>
    <w:rsid w:val="00F6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paragraph" w:styleId="a3">
    <w:name w:val="List Paragraph"/>
    <w:basedOn w:val="a"/>
    <w:uiPriority w:val="34"/>
    <w:qFormat/>
    <w:rsid w:val="00CA3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05D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D3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8E6519"/>
    <w:rPr>
      <w:rFonts w:ascii="Times New Roman" w:eastAsia="Times New Roman" w:hAnsi="Times New Roman" w:cs="Times New Roman"/>
      <w:sz w:val="13"/>
      <w:szCs w:val="13"/>
      <w:shd w:val="clear" w:color="auto" w:fill="FFFFFF"/>
      <w:lang w:val="en-US" w:bidi="en-US"/>
    </w:rPr>
  </w:style>
  <w:style w:type="paragraph" w:customStyle="1" w:styleId="100">
    <w:name w:val="Основной текст (10)"/>
    <w:basedOn w:val="a"/>
    <w:link w:val="10"/>
    <w:rsid w:val="008E6519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3"/>
      <w:szCs w:val="13"/>
      <w:lang w:val="en-US" w:bidi="en-US"/>
    </w:rPr>
  </w:style>
  <w:style w:type="paragraph" w:styleId="a3">
    <w:name w:val="List Paragraph"/>
    <w:basedOn w:val="a"/>
    <w:uiPriority w:val="34"/>
    <w:qFormat/>
    <w:rsid w:val="00CA3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jn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2016-07-11T09:30:00Z</dcterms:created>
  <dcterms:modified xsi:type="dcterms:W3CDTF">2016-07-12T18:13:00Z</dcterms:modified>
</cp:coreProperties>
</file>